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57027"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73C69F3" w14:textId="77777777" w:rsidR="0057789E" w:rsidRPr="003C776E" w:rsidRDefault="003C776E" w:rsidP="003C776E">
      <w:pPr>
        <w:pStyle w:val="GPSL1SCHEDULEHeading"/>
      </w:pPr>
      <w:bookmarkStart w:id="1" w:name="_Ref365638373"/>
      <w:r>
        <w:t>How Framework Prices are used to calculate Call-Off Charges</w:t>
      </w:r>
    </w:p>
    <w:p w14:paraId="73B96AC3"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B41B2BA"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12725507" w14:textId="1B145E2C" w:rsid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776D80D1" w14:textId="6FB464A4" w:rsidR="00DD6AB7" w:rsidRPr="0057789E" w:rsidRDefault="00DD6AB7" w:rsidP="0057789E">
      <w:pPr>
        <w:pStyle w:val="GPSL3numberedclause"/>
        <w:tabs>
          <w:tab w:val="clear" w:pos="2127"/>
        </w:tabs>
        <w:ind w:left="1980" w:hanging="810"/>
        <w:jc w:val="left"/>
        <w:rPr>
          <w:rFonts w:ascii="Arial" w:hAnsi="Arial"/>
          <w:sz w:val="24"/>
          <w:szCs w:val="24"/>
        </w:rPr>
      </w:pPr>
      <w:r w:rsidRPr="00DD6AB7">
        <w:rPr>
          <w:rFonts w:ascii="Arial" w:hAnsi="Arial"/>
          <w:sz w:val="24"/>
          <w:szCs w:val="24"/>
        </w:rPr>
        <w:t xml:space="preserve">The Supplier acknowledges and agrees that any prices submitted in relation to a further competition </w:t>
      </w:r>
      <w:r>
        <w:rPr>
          <w:rFonts w:ascii="Arial" w:hAnsi="Arial"/>
          <w:sz w:val="24"/>
          <w:szCs w:val="24"/>
        </w:rPr>
        <w:t xml:space="preserve">in Lot 2 </w:t>
      </w:r>
      <w:r w:rsidRPr="00DD6AB7">
        <w:rPr>
          <w:rFonts w:ascii="Arial" w:hAnsi="Arial"/>
          <w:sz w:val="24"/>
          <w:szCs w:val="24"/>
        </w:rPr>
        <w:t>held in accordance with Framework Schedule 7 (Call-Off Award Procedure) shall be equal to or lower than the Framework Prices referenced in this Framework Schedule 3</w:t>
      </w:r>
      <w:r>
        <w:rPr>
          <w:rFonts w:ascii="Arial" w:hAnsi="Arial"/>
          <w:sz w:val="24"/>
          <w:szCs w:val="24"/>
        </w:rPr>
        <w:t>.</w:t>
      </w:r>
    </w:p>
    <w:p w14:paraId="47349DA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4890B44F"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72620DB8"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w:t>
      </w:r>
      <w:r w:rsidR="00B87322">
        <w:rPr>
          <w:rFonts w:ascii="Arial" w:hAnsi="Arial"/>
          <w:sz w:val="24"/>
          <w:szCs w:val="24"/>
        </w:rPr>
        <w:t>y stated in the Order Form; and</w:t>
      </w:r>
    </w:p>
    <w:p w14:paraId="36B52F93"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w:t>
      </w:r>
      <w:r w:rsidR="00B87322">
        <w:rPr>
          <w:rFonts w:ascii="Arial" w:hAnsi="Arial"/>
          <w:sz w:val="24"/>
          <w:szCs w:val="24"/>
        </w:rPr>
        <w:t>hange to the Framework Prices.</w:t>
      </w:r>
    </w:p>
    <w:p w14:paraId="5FEEEB40" w14:textId="77777777"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B87322">
        <w:rPr>
          <w:rFonts w:ascii="Arial" w:hAnsi="Arial"/>
          <w:sz w:val="24"/>
          <w:szCs w:val="24"/>
        </w:rPr>
        <w:t>ns of this Framework Schedule 3.</w:t>
      </w:r>
    </w:p>
    <w:bookmarkEnd w:id="2"/>
    <w:p w14:paraId="6BC3CFB6" w14:textId="77777777" w:rsidR="0057789E" w:rsidRPr="00045287" w:rsidRDefault="00973BE3" w:rsidP="003C776E">
      <w:pPr>
        <w:pStyle w:val="GPSL1SCHEDULEHeading"/>
      </w:pPr>
      <w:r>
        <w:t>How Framework Prices are calculated</w:t>
      </w:r>
    </w:p>
    <w:p w14:paraId="520474A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0FFCD88F" w14:textId="77777777" w:rsidR="0057789E" w:rsidRPr="0057789E" w:rsidRDefault="00973BE3" w:rsidP="003C776E">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720C92E7" w14:textId="77777777"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676CA785"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4E63800B"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5A3400F5" w14:textId="77777777" w:rsidR="0057789E" w:rsidRPr="0057789E" w:rsidRDefault="009427C1" w:rsidP="003C776E">
      <w:pPr>
        <w:pStyle w:val="GPSL1SCHEDULEHeading"/>
      </w:pPr>
      <w:r>
        <w:t>When the Supplier can ask to change the Framework Prices</w:t>
      </w:r>
    </w:p>
    <w:p w14:paraId="1815A47A" w14:textId="519FFDF2"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The Framework Prices will be fixed for the first</w:t>
      </w:r>
      <w:r w:rsidR="00DC069C">
        <w:rPr>
          <w:rFonts w:ascii="Arial" w:hAnsi="Arial"/>
          <w:sz w:val="24"/>
          <w:szCs w:val="24"/>
        </w:rPr>
        <w:t xml:space="preserve"> </w:t>
      </w:r>
      <w:r w:rsidR="00EA1E5D">
        <w:rPr>
          <w:rFonts w:ascii="Arial" w:hAnsi="Arial"/>
          <w:sz w:val="24"/>
          <w:szCs w:val="24"/>
        </w:rPr>
        <w:t>twelve (</w:t>
      </w:r>
      <w:r w:rsidR="00DC069C">
        <w:rPr>
          <w:rFonts w:ascii="Arial" w:hAnsi="Arial"/>
          <w:sz w:val="24"/>
          <w:szCs w:val="24"/>
        </w:rPr>
        <w:t>12</w:t>
      </w:r>
      <w:r w:rsidR="00EA1E5D">
        <w:rPr>
          <w:rFonts w:ascii="Arial" w:hAnsi="Arial"/>
          <w:sz w:val="24"/>
          <w:szCs w:val="24"/>
        </w:rPr>
        <w:t>)</w:t>
      </w:r>
      <w:r w:rsidR="00DC069C">
        <w:rPr>
          <w:rFonts w:ascii="Arial" w:hAnsi="Arial"/>
          <w:sz w:val="24"/>
          <w:szCs w:val="24"/>
        </w:rPr>
        <w:t xml:space="preserve"> months </w:t>
      </w:r>
      <w:r w:rsidR="002C092D">
        <w:rPr>
          <w:rFonts w:ascii="Arial" w:hAnsi="Arial"/>
          <w:sz w:val="24"/>
          <w:szCs w:val="24"/>
        </w:rPr>
        <w:t xml:space="preserve">with the exception of paper and electronic office supplies which will be fixed for </w:t>
      </w:r>
      <w:r w:rsidR="00EA1E5D">
        <w:rPr>
          <w:rFonts w:ascii="Arial" w:hAnsi="Arial"/>
          <w:sz w:val="24"/>
          <w:szCs w:val="24"/>
        </w:rPr>
        <w:t xml:space="preserve"> </w:t>
      </w:r>
      <w:r w:rsidR="002C092D">
        <w:rPr>
          <w:rFonts w:ascii="Arial" w:hAnsi="Arial"/>
          <w:sz w:val="24"/>
          <w:szCs w:val="24"/>
        </w:rPr>
        <w:t>six</w:t>
      </w:r>
      <w:r w:rsidR="00EA1E5D">
        <w:rPr>
          <w:rFonts w:ascii="Arial" w:hAnsi="Arial"/>
          <w:sz w:val="24"/>
          <w:szCs w:val="24"/>
        </w:rPr>
        <w:t xml:space="preserve"> (6) </w:t>
      </w:r>
      <w:r w:rsidR="002C092D">
        <w:rPr>
          <w:rFonts w:ascii="Arial" w:hAnsi="Arial"/>
          <w:sz w:val="24"/>
          <w:szCs w:val="24"/>
        </w:rPr>
        <w:t>months</w:t>
      </w:r>
      <w:r w:rsidRPr="00F328EC">
        <w:rPr>
          <w:rFonts w:ascii="Arial" w:hAnsi="Arial"/>
          <w:sz w:val="24"/>
          <w:szCs w:val="24"/>
        </w:rPr>
        <w:t xml:space="preserve">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w:t>
      </w:r>
      <w:r w:rsidR="002C092D">
        <w:rPr>
          <w:rFonts w:ascii="Arial" w:hAnsi="Arial"/>
          <w:sz w:val="24"/>
          <w:szCs w:val="24"/>
        </w:rPr>
        <w:t xml:space="preserve"> or six month anniversary for paper and electronic office supplies;</w:t>
      </w:r>
      <w:r w:rsidRPr="00F328EC">
        <w:rPr>
          <w:rFonts w:ascii="Arial" w:hAnsi="Arial"/>
          <w:sz w:val="24"/>
          <w:szCs w:val="24"/>
        </w:rPr>
        <w:t xml:space="preserve"> (the date of each such anniversary is also a "</w:t>
      </w:r>
      <w:r w:rsidRPr="00F328EC">
        <w:rPr>
          <w:rFonts w:ascii="Arial" w:hAnsi="Arial"/>
          <w:b/>
          <w:sz w:val="24"/>
          <w:szCs w:val="24"/>
        </w:rPr>
        <w:t>Review Date</w:t>
      </w:r>
      <w:r w:rsidRPr="00F328EC">
        <w:rPr>
          <w:rFonts w:ascii="Arial" w:hAnsi="Arial"/>
          <w:sz w:val="24"/>
          <w:szCs w:val="24"/>
        </w:rPr>
        <w:t>").</w:t>
      </w:r>
    </w:p>
    <w:p w14:paraId="11539E43"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4FEB1DD2"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09E3E4F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06D2E1B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632A2676" w14:textId="71FFDB7E" w:rsidR="0057789E" w:rsidRPr="002C092D" w:rsidRDefault="0057789E" w:rsidP="0057789E">
      <w:pPr>
        <w:pStyle w:val="GPSL4numberedclause"/>
        <w:tabs>
          <w:tab w:val="left" w:pos="1985"/>
          <w:tab w:val="left" w:pos="2552"/>
        </w:tabs>
        <w:ind w:left="1985" w:hanging="815"/>
        <w:jc w:val="left"/>
        <w:rPr>
          <w:rFonts w:ascii="Arial" w:hAnsi="Arial"/>
          <w:b/>
          <w:i/>
          <w:sz w:val="24"/>
          <w:szCs w:val="24"/>
        </w:rPr>
      </w:pPr>
      <w:r w:rsidRPr="002C092D">
        <w:rPr>
          <w:rFonts w:ascii="Arial" w:hAnsi="Arial"/>
          <w:sz w:val="24"/>
          <w:szCs w:val="24"/>
        </w:rPr>
        <w:t xml:space="preserve">a breakdown of the profit and cost components that comprise the relevant Framework Price; </w:t>
      </w:r>
    </w:p>
    <w:p w14:paraId="5172B0FA"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details of the movement in the different identified cost components o</w:t>
      </w:r>
      <w:r w:rsidR="002C092D" w:rsidRPr="002C092D">
        <w:rPr>
          <w:rFonts w:ascii="Arial" w:hAnsi="Arial"/>
          <w:sz w:val="24"/>
          <w:szCs w:val="24"/>
        </w:rPr>
        <w:t>f the relevant Framework Price;</w:t>
      </w:r>
    </w:p>
    <w:p w14:paraId="37FC4B4D"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reasons for the movement in the different identified cost components o</w:t>
      </w:r>
      <w:r w:rsidR="002C092D" w:rsidRPr="002C092D">
        <w:rPr>
          <w:rFonts w:ascii="Arial" w:hAnsi="Arial"/>
          <w:sz w:val="24"/>
          <w:szCs w:val="24"/>
        </w:rPr>
        <w:t>f the relevant Framework Price;</w:t>
      </w:r>
    </w:p>
    <w:p w14:paraId="64E192B3"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evidence that the Supplier has attempted to mitigate against the increase in the relevant cost components;</w:t>
      </w:r>
      <w:r w:rsidR="002C092D" w:rsidRPr="002C092D">
        <w:rPr>
          <w:rFonts w:ascii="Arial" w:hAnsi="Arial"/>
          <w:sz w:val="24"/>
          <w:szCs w:val="24"/>
        </w:rPr>
        <w:t xml:space="preserve"> and</w:t>
      </w:r>
    </w:p>
    <w:p w14:paraId="3CC5D30A" w14:textId="02E2F0E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 xml:space="preserve">evidence that the Supplier’s profit component of the </w:t>
      </w:r>
      <w:r w:rsidR="00A95AA6" w:rsidRPr="002C092D">
        <w:rPr>
          <w:rFonts w:ascii="Arial" w:hAnsi="Arial"/>
          <w:sz w:val="24"/>
          <w:szCs w:val="24"/>
        </w:rPr>
        <w:t>relevant Framework</w:t>
      </w:r>
      <w:r w:rsidRPr="002C092D">
        <w:rPr>
          <w:rFonts w:ascii="Arial" w:hAnsi="Arial"/>
          <w:sz w:val="24"/>
          <w:szCs w:val="24"/>
        </w:rPr>
        <w:t xml:space="preserve"> Price is no greater than that applying to Framework Prices using the same pricing mechanism as at </w:t>
      </w:r>
      <w:r w:rsidR="002C092D" w:rsidRPr="002C092D">
        <w:rPr>
          <w:rFonts w:ascii="Arial" w:hAnsi="Arial"/>
          <w:sz w:val="24"/>
          <w:szCs w:val="24"/>
        </w:rPr>
        <w:t>the Contract Commencement Date.</w:t>
      </w:r>
    </w:p>
    <w:p w14:paraId="42208E11" w14:textId="42F7C67A" w:rsidR="0057789E" w:rsidRPr="00983F7D" w:rsidRDefault="0057789E" w:rsidP="0057789E">
      <w:pPr>
        <w:pStyle w:val="GPSL2Numbered"/>
        <w:numPr>
          <w:ilvl w:val="1"/>
          <w:numId w:val="1"/>
        </w:numPr>
        <w:tabs>
          <w:tab w:val="clear" w:pos="709"/>
        </w:tabs>
        <w:ind w:left="1134" w:hanging="504"/>
        <w:jc w:val="left"/>
        <w:rPr>
          <w:rFonts w:ascii="Arial" w:hAnsi="Arial"/>
          <w:sz w:val="24"/>
          <w:szCs w:val="24"/>
        </w:rPr>
      </w:pPr>
      <w:r w:rsidRPr="00983F7D">
        <w:rPr>
          <w:rFonts w:ascii="Arial" w:hAnsi="Arial"/>
          <w:sz w:val="24"/>
          <w:szCs w:val="24"/>
        </w:rPr>
        <w:t>CCS shall consider each request for a price increase.CCS may grant Approval to an increase at its sole discretion.</w:t>
      </w:r>
    </w:p>
    <w:p w14:paraId="75F70A2C" w14:textId="77777777" w:rsidR="0057789E" w:rsidRPr="00983F7D" w:rsidRDefault="0057789E" w:rsidP="0057789E">
      <w:pPr>
        <w:pStyle w:val="GPSL2Numbered"/>
        <w:numPr>
          <w:ilvl w:val="1"/>
          <w:numId w:val="1"/>
        </w:numPr>
        <w:tabs>
          <w:tab w:val="clear" w:pos="709"/>
        </w:tabs>
        <w:ind w:left="1134" w:hanging="504"/>
        <w:jc w:val="left"/>
        <w:rPr>
          <w:rFonts w:ascii="Arial" w:hAnsi="Arial"/>
          <w:sz w:val="24"/>
          <w:szCs w:val="24"/>
        </w:rPr>
      </w:pPr>
      <w:r w:rsidRPr="00983F7D">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214E3EAF" w14:textId="77777777" w:rsidR="0057789E" w:rsidRPr="0057789E" w:rsidRDefault="007A2CAF" w:rsidP="003C776E">
      <w:pPr>
        <w:pStyle w:val="GPSL1SCHEDULEHeading"/>
      </w:pPr>
      <w:r>
        <w:t>Other events that allow the Supplier to change the Framework Prices</w:t>
      </w:r>
    </w:p>
    <w:p w14:paraId="51C78D6D"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6F895DD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03E3149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3999EA4E" w14:textId="5BBB3BD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60BE7911"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request from the Supplier, which it can make at any time, to decrease the Framework Prices; and</w:t>
      </w:r>
    </w:p>
    <w:p w14:paraId="13E443AC"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bookmarkEnd w:id="1"/>
    <w:p w14:paraId="24BF27F3" w14:textId="57BBDC5C" w:rsidR="00B412E6" w:rsidRPr="00047DFC" w:rsidRDefault="00B412E6" w:rsidP="00B412E6">
      <w:pPr>
        <w:rPr>
          <w:rFonts w:ascii="Arial" w:eastAsia="Calibri" w:hAnsi="Arial" w:cs="Arial"/>
          <w:b/>
          <w:bCs/>
          <w:iCs/>
          <w:sz w:val="24"/>
          <w:szCs w:val="24"/>
        </w:rPr>
      </w:pPr>
      <w:r w:rsidRPr="00047DFC">
        <w:rPr>
          <w:rFonts w:ascii="Arial" w:eastAsia="Calibri" w:hAnsi="Arial" w:cs="Arial"/>
          <w:b/>
          <w:bCs/>
          <w:iCs/>
          <w:sz w:val="24"/>
          <w:szCs w:val="24"/>
          <w:highlight w:val="yellow"/>
        </w:rPr>
        <w:t xml:space="preserve">Insert </w:t>
      </w:r>
      <w:r w:rsidRPr="00047DFC">
        <w:rPr>
          <w:rFonts w:ascii="Arial" w:eastAsia="Calibri" w:hAnsi="Arial" w:cs="Arial"/>
          <w:bCs/>
          <w:iCs/>
          <w:sz w:val="24"/>
          <w:szCs w:val="24"/>
          <w:highlight w:val="yellow"/>
        </w:rPr>
        <w:t>Pricing Schedule</w:t>
      </w:r>
      <w:r>
        <w:rPr>
          <w:rFonts w:ascii="Arial" w:eastAsia="Calibri" w:hAnsi="Arial" w:cs="Arial"/>
          <w:bCs/>
          <w:iCs/>
          <w:sz w:val="24"/>
          <w:szCs w:val="24"/>
          <w:highlight w:val="yellow"/>
        </w:rPr>
        <w:t>(</w:t>
      </w:r>
      <w:r w:rsidRPr="00047DFC">
        <w:rPr>
          <w:rFonts w:ascii="Arial" w:eastAsia="Calibri" w:hAnsi="Arial" w:cs="Arial"/>
          <w:bCs/>
          <w:iCs/>
          <w:sz w:val="24"/>
          <w:szCs w:val="24"/>
          <w:highlight w:val="yellow"/>
        </w:rPr>
        <w:t>s</w:t>
      </w:r>
      <w:r>
        <w:rPr>
          <w:rFonts w:ascii="Arial" w:eastAsia="Calibri" w:hAnsi="Arial" w:cs="Arial"/>
          <w:bCs/>
          <w:iCs/>
          <w:sz w:val="24"/>
          <w:szCs w:val="24"/>
          <w:highlight w:val="yellow"/>
        </w:rPr>
        <w:t>)</w:t>
      </w:r>
    </w:p>
    <w:p w14:paraId="47D770A0" w14:textId="77777777" w:rsidR="00843C93" w:rsidRPr="0057789E" w:rsidRDefault="00843C93" w:rsidP="0057789E">
      <w:pPr>
        <w:rPr>
          <w:rFonts w:ascii="Arial" w:hAnsi="Arial" w:cs="Arial"/>
          <w:b/>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6C7CB" w14:textId="77777777" w:rsidR="00C80C41" w:rsidRDefault="00C80C41">
      <w:pPr>
        <w:spacing w:after="0" w:line="240" w:lineRule="auto"/>
      </w:pPr>
      <w:r>
        <w:separator/>
      </w:r>
    </w:p>
  </w:endnote>
  <w:endnote w:type="continuationSeparator" w:id="0">
    <w:p w14:paraId="6F92DE7D" w14:textId="77777777" w:rsidR="00C80C41" w:rsidRDefault="00C80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8A508" w14:textId="0673AB98"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DC069C">
      <w:rPr>
        <w:rFonts w:ascii="Arial" w:hAnsi="Arial" w:cs="Arial"/>
        <w:sz w:val="20"/>
        <w:szCs w:val="20"/>
      </w:rPr>
      <w:t>6059</w:t>
    </w:r>
    <w:r w:rsidR="0016710F">
      <w:rPr>
        <w:rFonts w:ascii="Arial" w:hAnsi="Arial" w:cs="Arial"/>
        <w:sz w:val="20"/>
        <w:szCs w:val="20"/>
      </w:rPr>
      <w:t xml:space="preserve"> </w:t>
    </w:r>
    <w:r w:rsidR="0016710F" w:rsidRPr="00990BCF">
      <w:rPr>
        <w:rFonts w:ascii="Arial" w:hAnsi="Arial" w:cs="Arial"/>
        <w:sz w:val="20"/>
      </w:rPr>
      <w:t xml:space="preserve">Office Supplies </w:t>
    </w:r>
    <w:r w:rsidR="0016710F" w:rsidRPr="009A0970">
      <w:rPr>
        <w:rFonts w:ascii="Arial" w:hAnsi="Arial" w:cs="Arial"/>
        <w:sz w:val="20"/>
      </w:rPr>
      <w:t>Framework</w:t>
    </w:r>
    <w:r w:rsidRPr="00B2008A">
      <w:rPr>
        <w:rFonts w:ascii="Arial" w:hAnsi="Arial" w:cs="Arial"/>
        <w:sz w:val="20"/>
        <w:szCs w:val="20"/>
      </w:rPr>
      <w:tab/>
      <w:t xml:space="preserve">                                           </w:t>
    </w:r>
  </w:p>
  <w:p w14:paraId="68CFDD99" w14:textId="586A5F3D"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487E65">
      <w:rPr>
        <w:rFonts w:ascii="Arial" w:hAnsi="Arial" w:cs="Arial"/>
        <w:noProof/>
        <w:sz w:val="20"/>
        <w:szCs w:val="20"/>
      </w:rPr>
      <w:t>4</w:t>
    </w:r>
    <w:r w:rsidR="00FF20AA" w:rsidRPr="00B2008A">
      <w:rPr>
        <w:rFonts w:ascii="Arial" w:hAnsi="Arial" w:cs="Arial"/>
        <w:noProof/>
        <w:sz w:val="20"/>
        <w:szCs w:val="20"/>
      </w:rPr>
      <w:fldChar w:fldCharType="end"/>
    </w:r>
  </w:p>
  <w:p w14:paraId="0975318B"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C4766" w14:textId="77777777" w:rsidR="00034E9B" w:rsidRDefault="00034E9B" w:rsidP="00034E9B">
    <w:pPr>
      <w:tabs>
        <w:tab w:val="center" w:pos="4513"/>
        <w:tab w:val="right" w:pos="9026"/>
      </w:tabs>
      <w:spacing w:after="0"/>
    </w:pPr>
    <w:r>
      <w:t>Framework Ref: RM</w:t>
    </w:r>
    <w:r>
      <w:tab/>
      <w:t xml:space="preserve">                                           </w:t>
    </w:r>
  </w:p>
  <w:p w14:paraId="411BE128"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659991D9"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F3FA7" w14:textId="77777777" w:rsidR="00C80C41" w:rsidRDefault="00C80C41">
      <w:pPr>
        <w:spacing w:after="0" w:line="240" w:lineRule="auto"/>
      </w:pPr>
      <w:r>
        <w:separator/>
      </w:r>
    </w:p>
  </w:footnote>
  <w:footnote w:type="continuationSeparator" w:id="0">
    <w:p w14:paraId="65A33159" w14:textId="77777777" w:rsidR="00C80C41" w:rsidRDefault="00C80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FF3" w14:textId="2F6D67D2" w:rsidR="000857C2" w:rsidRPr="00B2008A" w:rsidRDefault="00C80C41">
    <w:pPr>
      <w:pStyle w:val="Header"/>
      <w:rPr>
        <w:rFonts w:ascii="Arial" w:hAnsi="Arial" w:cs="Arial"/>
        <w:b/>
        <w:sz w:val="20"/>
        <w:szCs w:val="20"/>
      </w:rPr>
    </w:pPr>
    <w:sdt>
      <w:sdtPr>
        <w:rPr>
          <w:rFonts w:ascii="Arial" w:hAnsi="Arial" w:cs="Arial"/>
          <w:b/>
          <w:sz w:val="20"/>
          <w:szCs w:val="20"/>
        </w:rPr>
        <w:id w:val="644468569"/>
        <w:docPartObj>
          <w:docPartGallery w:val="Watermarks"/>
          <w:docPartUnique/>
        </w:docPartObj>
      </w:sdtPr>
      <w:sdtEndPr/>
      <w:sdtContent>
        <w:r>
          <w:rPr>
            <w:rFonts w:ascii="Arial" w:hAnsi="Arial" w:cs="Arial"/>
            <w:b/>
            <w:noProof/>
            <w:sz w:val="20"/>
            <w:szCs w:val="20"/>
            <w:lang w:val="en-US"/>
          </w:rPr>
          <w:pict w14:anchorId="175210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p>
  <w:p w14:paraId="1E06E25C" w14:textId="0088E841"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16710F">
      <w:rPr>
        <w:rFonts w:ascii="Arial" w:hAnsi="Arial" w:cs="Arial"/>
        <w:sz w:val="20"/>
        <w:szCs w:val="20"/>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50157"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45116768"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46043"/>
    <w:rsid w:val="000857C2"/>
    <w:rsid w:val="00087AFB"/>
    <w:rsid w:val="00135E0F"/>
    <w:rsid w:val="0016710F"/>
    <w:rsid w:val="00187CDF"/>
    <w:rsid w:val="001B0AF6"/>
    <w:rsid w:val="00230FB8"/>
    <w:rsid w:val="002A0A9D"/>
    <w:rsid w:val="002C092D"/>
    <w:rsid w:val="00311DD0"/>
    <w:rsid w:val="003450C5"/>
    <w:rsid w:val="003C776E"/>
    <w:rsid w:val="003E1BEF"/>
    <w:rsid w:val="003E3C9C"/>
    <w:rsid w:val="0040349E"/>
    <w:rsid w:val="0044528D"/>
    <w:rsid w:val="00487E65"/>
    <w:rsid w:val="00497354"/>
    <w:rsid w:val="005313B5"/>
    <w:rsid w:val="0057789E"/>
    <w:rsid w:val="006325DC"/>
    <w:rsid w:val="00640D18"/>
    <w:rsid w:val="0067238C"/>
    <w:rsid w:val="00681EAD"/>
    <w:rsid w:val="006B2216"/>
    <w:rsid w:val="006C4AE2"/>
    <w:rsid w:val="006D400A"/>
    <w:rsid w:val="006F7F5E"/>
    <w:rsid w:val="00714D04"/>
    <w:rsid w:val="00757DEB"/>
    <w:rsid w:val="00766255"/>
    <w:rsid w:val="0076656E"/>
    <w:rsid w:val="00774CD0"/>
    <w:rsid w:val="007A2CAF"/>
    <w:rsid w:val="007B2C9E"/>
    <w:rsid w:val="007D4BF0"/>
    <w:rsid w:val="00843C93"/>
    <w:rsid w:val="008453C6"/>
    <w:rsid w:val="00863BC5"/>
    <w:rsid w:val="008A32B2"/>
    <w:rsid w:val="008B60EE"/>
    <w:rsid w:val="008D5152"/>
    <w:rsid w:val="008E4963"/>
    <w:rsid w:val="009427C1"/>
    <w:rsid w:val="00973BE3"/>
    <w:rsid w:val="00983F7D"/>
    <w:rsid w:val="009D6528"/>
    <w:rsid w:val="00A3237E"/>
    <w:rsid w:val="00A55743"/>
    <w:rsid w:val="00A9462A"/>
    <w:rsid w:val="00A95AA6"/>
    <w:rsid w:val="00AB516E"/>
    <w:rsid w:val="00B2008A"/>
    <w:rsid w:val="00B349A8"/>
    <w:rsid w:val="00B412E6"/>
    <w:rsid w:val="00B87322"/>
    <w:rsid w:val="00C05D8F"/>
    <w:rsid w:val="00C80C41"/>
    <w:rsid w:val="00CB7960"/>
    <w:rsid w:val="00CD0816"/>
    <w:rsid w:val="00CF1DFF"/>
    <w:rsid w:val="00D0742D"/>
    <w:rsid w:val="00DB465F"/>
    <w:rsid w:val="00DC069C"/>
    <w:rsid w:val="00DD4AC6"/>
    <w:rsid w:val="00DD5DF9"/>
    <w:rsid w:val="00DD6AB7"/>
    <w:rsid w:val="00E30852"/>
    <w:rsid w:val="00E85424"/>
    <w:rsid w:val="00EA1E5D"/>
    <w:rsid w:val="00EB0572"/>
    <w:rsid w:val="00EF5A2D"/>
    <w:rsid w:val="00EF5E85"/>
    <w:rsid w:val="00F033D6"/>
    <w:rsid w:val="00F14554"/>
    <w:rsid w:val="00F20C81"/>
    <w:rsid w:val="00F22209"/>
    <w:rsid w:val="00F328EC"/>
    <w:rsid w:val="00F71250"/>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6BB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435A-F3EE-49A1-8CFF-44815EAC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2019-11-21T05:43:00Z</dcterms:created>
  <dcterms:modified xsi:type="dcterms:W3CDTF">2019-11-21T07:31:00Z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